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„poskytovatel“) na straně jedné,</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se sídlem XXXXXXXX</w:t>
      </w:r>
      <w:r w:rsidDel="00000000" w:rsidR="00000000" w:rsidRPr="00000000">
        <w:rPr>
          <w:rtl w:val="0"/>
        </w:rPr>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zastoupená: XXXXXXXX </w:t>
      </w:r>
      <w:r w:rsidDel="00000000" w:rsidR="00000000" w:rsidRPr="00000000">
        <w:rPr>
          <w:rtl w:val="0"/>
        </w:rPr>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r w:rsidDel="00000000" w:rsidR="00000000" w:rsidRPr="00000000">
        <w:rPr>
          <w:rtl w:val="0"/>
        </w:rPr>
      </w:r>
    </w:p>
    <w:p w:rsidR="00000000" w:rsidDel="00000000" w:rsidP="00000000" w:rsidRDefault="00000000" w:rsidRPr="00000000" w14:paraId="00000014">
      <w:pPr>
        <w:spacing w:before="0" w:lineRule="auto"/>
        <w:rPr>
          <w:rFonts w:ascii="Calibri" w:cs="Calibri" w:eastAsia="Calibri" w:hAnsi="Calibri"/>
        </w:rPr>
      </w:pPr>
      <w:r w:rsidDel="00000000" w:rsidR="00000000" w:rsidRPr="00000000">
        <w:rPr>
          <w:rFonts w:ascii="Calibri" w:cs="Calibri" w:eastAsia="Calibri" w:hAnsi="Calibri"/>
          <w:highlight w:val="yellow"/>
          <w:rtl w:val="0"/>
        </w:rPr>
        <w:t xml:space="preserve">číslo účtu: XXXXXXXX</w:t>
      </w:r>
      <w:r w:rsidDel="00000000" w:rsidR="00000000" w:rsidRPr="00000000">
        <w:rPr>
          <w:rtl w:val="0"/>
        </w:rPr>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další účastník účelové podpory (dále jen „příjemce/další účastník“) na straně druhé</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Návrh projektu </w:t>
      </w:r>
      <w:r w:rsidDel="00000000" w:rsidR="00000000" w:rsidRPr="00000000">
        <w:rPr>
          <w:rFonts w:ascii="Calibri" w:cs="Calibri" w:eastAsia="Calibri" w:hAnsi="Calibri"/>
          <w:highlight w:val="yellow"/>
          <w:rtl w:val="0"/>
        </w:rPr>
        <w:t xml:space="preserve">XXXX</w:t>
      </w:r>
      <w:r w:rsidDel="00000000" w:rsidR="00000000" w:rsidRPr="00000000">
        <w:rPr>
          <w:rFonts w:ascii="Calibri" w:cs="Calibri" w:eastAsia="Calibri" w:hAnsi="Calibri"/>
          <w:rtl w:val="0"/>
        </w:rPr>
        <w:t xml:space="preserve"> s názvem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byl přijat do mezinárodní výzvy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60" w:lineRule="auto"/>
        <w:rPr>
          <w:rFonts w:ascii="Calibri" w:cs="Calibri" w:eastAsia="Calibri" w:hAnsi="Calibri"/>
        </w:rPr>
      </w:pPr>
      <w:r w:rsidDel="00000000" w:rsidR="00000000" w:rsidRPr="00000000">
        <w:rPr>
          <w:rFonts w:ascii="Calibri" w:cs="Calibri" w:eastAsia="Calibri" w:hAnsi="Calibri"/>
          <w:rtl w:val="0"/>
        </w:rPr>
        <w:t xml:space="preserve">V souladu s § 9 ZPVV se proto vydává toto Rozhodnutí. Veškeré pojmy použité v Rozhodnutí jsou definovány ve Všeobecných podmínkách.</w:t>
      </w:r>
    </w:p>
    <w:p w:rsidR="00000000" w:rsidDel="00000000" w:rsidP="00000000" w:rsidRDefault="00000000" w:rsidRPr="00000000" w14:paraId="00000019">
      <w:pPr>
        <w:spacing w:after="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C">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p>
    <w:p w:rsidR="00000000" w:rsidDel="00000000" w:rsidP="00000000" w:rsidRDefault="00000000" w:rsidRPr="00000000" w14:paraId="0000001D">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 </w:t>
      </w:r>
    </w:p>
    <w:p w:rsidR="00000000" w:rsidDel="00000000" w:rsidP="00000000" w:rsidRDefault="00000000" w:rsidRPr="00000000" w14:paraId="0000001E">
      <w:pPr>
        <w:numPr>
          <w:ilvl w:val="0"/>
          <w:numId w:val="4"/>
        </w:numPr>
        <w:ind w:left="360" w:hanging="360"/>
        <w:rPr>
          <w:rFonts w:ascii="Calibri" w:cs="Calibri" w:eastAsia="Calibri" w:hAnsi="Calibri"/>
        </w:rPr>
      </w:pPr>
      <w:r w:rsidDel="00000000" w:rsidR="00000000" w:rsidRPr="00000000">
        <w:rPr>
          <w:rFonts w:ascii="Calibri" w:cs="Calibri" w:eastAsia="Calibri" w:hAnsi="Calibri"/>
          <w:rtl w:val="0"/>
        </w:rPr>
        <w:t xml:space="preserve">Podpora bude poskytnuta formou zvýšení výdajů organizační složky státu, která je příjemcem, ve smyslu § 4 odst. 1 ZPVV.</w:t>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3"/>
        </w:numPr>
        <w:ind w:left="360" w:hanging="360"/>
        <w:rPr>
          <w:rFonts w:ascii="Calibri" w:cs="Calibri" w:eastAsia="Calibri" w:hAnsi="Calibri"/>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p>
    <w:p w:rsidR="00000000" w:rsidDel="00000000" w:rsidP="00000000" w:rsidRDefault="00000000" w:rsidRPr="00000000" w14:paraId="00000022">
      <w:pPr>
        <w:numPr>
          <w:ilvl w:val="0"/>
          <w:numId w:val="3"/>
        </w:numPr>
        <w:ind w:left="360" w:hanging="360"/>
        <w:rPr>
          <w:rFonts w:ascii="Calibri" w:cs="Calibri" w:eastAsia="Calibri" w:hAnsi="Calibri"/>
        </w:rPr>
      </w:pPr>
      <w:r w:rsidDel="00000000" w:rsidR="00000000" w:rsidRPr="00000000">
        <w:rPr>
          <w:rFonts w:ascii="Calibri" w:cs="Calibri" w:eastAsia="Calibri" w:hAnsi="Calibri"/>
          <w:rtl w:val="0"/>
        </w:rPr>
        <w:t xml:space="preserve">Maximální výše uznaných nákladů projektu je stanovena ve výši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p>
    <w:p w:rsidR="00000000" w:rsidDel="00000000" w:rsidP="00000000" w:rsidRDefault="00000000" w:rsidRPr="00000000" w14:paraId="0000002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5">
      <w:pPr>
        <w:numPr>
          <w:ilvl w:val="0"/>
          <w:numId w:val="1"/>
        </w:numPr>
        <w:tabs>
          <w:tab w:val="left" w:pos="567"/>
          <w:tab w:val="left" w:pos="709"/>
        </w:tabs>
        <w:ind w:left="360" w:hanging="360"/>
        <w:rPr>
          <w:rFonts w:ascii="Calibri" w:cs="Calibri" w:eastAsia="Calibri" w:hAnsi="Calibri"/>
        </w:rPr>
      </w:pPr>
      <w:r w:rsidDel="00000000" w:rsidR="00000000" w:rsidRPr="00000000">
        <w:rPr>
          <w:rFonts w:ascii="Calibri" w:cs="Calibri" w:eastAsia="Calibri" w:hAnsi="Calibri"/>
          <w:rtl w:val="0"/>
        </w:rPr>
        <w:t xml:space="preserve">Nedílnou součástí Rozhodnutí je příloha Závazné parametry řešení projektu, které jsou schváleným návrhem projektu ve smyslu § 9 odst. 2 ZPVV,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Závazné parametry řešení projektu rovněž obsahují tabulku uznaných nákladů projektu, která obsahuje jejich rozdělení na jednotlivé roky řešení projektu, intenzitu podpory z uznaných nákladů a s tím související celková výše poskytované účelové podpory, včetně jejího rozdělení mezi hlavního příjemce a další účastníky projektu.</w:t>
      </w:r>
    </w:p>
    <w:p w:rsidR="00000000" w:rsidDel="00000000" w:rsidP="00000000" w:rsidRDefault="00000000" w:rsidRPr="00000000" w14:paraId="00000026">
      <w:pPr>
        <w:numPr>
          <w:ilvl w:val="0"/>
          <w:numId w:val="1"/>
        </w:numPr>
        <w:tabs>
          <w:tab w:val="left" w:pos="567"/>
          <w:tab w:val="left" w:pos="709"/>
        </w:tabs>
        <w:ind w:left="357" w:hanging="357"/>
        <w:rPr>
          <w:rFonts w:ascii="Calibri" w:cs="Calibri" w:eastAsia="Calibri" w:hAnsi="Calibri"/>
        </w:rPr>
      </w:pPr>
      <w:r w:rsidDel="00000000" w:rsidR="00000000" w:rsidRPr="00000000">
        <w:rPr>
          <w:rFonts w:ascii="Calibri" w:cs="Calibri" w:eastAsia="Calibri" w:hAnsi="Calibri"/>
          <w:rtl w:val="0"/>
        </w:rPr>
        <w:t xml:space="preserve">Další podmínky poskytnutí podpory a řešení projektu jsou uvedeny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p>
    <w:p w:rsidR="00000000" w:rsidDel="00000000" w:rsidP="00000000" w:rsidRDefault="00000000" w:rsidRPr="00000000" w14:paraId="00000027">
      <w:pPr>
        <w:numPr>
          <w:ilvl w:val="0"/>
          <w:numId w:val="1"/>
        </w:numPr>
        <w:tabs>
          <w:tab w:val="left" w:pos="567"/>
          <w:tab w:val="left" w:pos="709"/>
        </w:tabs>
        <w:ind w:left="357" w:hanging="357"/>
        <w:rPr>
          <w:rFonts w:ascii="Calibri" w:cs="Calibri" w:eastAsia="Calibri" w:hAnsi="Calibri"/>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použijí se přednostně ustanovení Rozhodnutí, dále ustanovení Všeobecných podmínek a dále Závazných parametrů řešení projektu.</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gjdgxs" w:id="0"/>
    <w:bookmarkEnd w:id="0"/>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B">
      <w:pPr>
        <w:numPr>
          <w:ilvl w:val="0"/>
          <w:numId w:val="6"/>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k řešení navrhovaného projektu, a to nad rámec Všeobecných podmínek.</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ind w:left="425" w:right="-182" w:hanging="425"/>
        <w:rPr>
          <w:rFonts w:ascii="Calibri" w:cs="Calibri" w:eastAsia="Calibri" w:hAnsi="Calibri"/>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ind w:left="425" w:right="-182" w:hanging="425"/>
        <w:rPr>
          <w:rFonts w:ascii="Calibri" w:cs="Calibri" w:eastAsia="Calibri" w:hAnsi="Calibri"/>
        </w:rPr>
      </w:pPr>
      <w:r w:rsidDel="00000000" w:rsidR="00000000" w:rsidRPr="00000000">
        <w:rPr>
          <w:rFonts w:ascii="Calibri" w:cs="Calibri" w:eastAsia="Calibri" w:hAnsi="Calibri"/>
          <w:rtl w:val="0"/>
        </w:rPr>
        <w:t xml:space="preserve">Nad rámec Všeobecných podmínek se stanovuje hlavnímu příjemci povinnost dle zákona č. 563/1991 Sb., o účetnictví zveřejňovat účetní závěrku v příslušném rejstříku ve smyslu zákona č. 304/2013 Sb., o veřejných rejstřících právnických a fyzických osob, a to po celou dobu řešení projektu.</w:t>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12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w:t>
      </w:r>
    </w:p>
    <w:p w:rsidR="00000000" w:rsidDel="00000000" w:rsidP="00000000" w:rsidRDefault="00000000" w:rsidRPr="00000000" w14:paraId="0000002F">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0">
      <w:pPr>
        <w:spacing w:after="120" w:before="0" w:lineRule="auto"/>
        <w:ind w:left="850" w:right="-182"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 / 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1">
      <w:pPr>
        <w:numPr>
          <w:ilvl w:val="0"/>
          <w:numId w:val="6"/>
        </w:numPr>
        <w:ind w:left="425" w:hanging="425"/>
        <w:rPr/>
      </w:pPr>
      <w:r w:rsidDel="00000000" w:rsidR="00000000" w:rsidRPr="00000000">
        <w:rPr>
          <w:rFonts w:ascii="Calibri" w:cs="Calibri" w:eastAsia="Calibri" w:hAnsi="Calibri"/>
          <w:rtl w:val="0"/>
        </w:rPr>
        <w:t xml:space="preserve">Nad rámec Všeobecných podmínek se stanovuje hlavnímu příjemci povinnost mít uzavřenou příslušnou konsorciální smlouvu (Consortium Agreement) se zahraničním partnerem, přičemž je možné, aby zahraniční partner byl jednou ze smluvních stran Smlouvy o účasti na řešení projektu, aniž by byl v roli dalšího účastníka. Čl. 6 Všeobecných podmínek „Smlouva o účasti na řešení projektu” a související ustanovení se použijí i pro konsorciální smlouvu se zahraničním partnerem s výjimkou čl. 6 odst. 2 písm. c) a d). Konsorciální smlouva musí být v anglickém jazyce.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425" w:right="-182" w:hanging="425"/>
      </w:pPr>
      <w:r w:rsidDel="00000000" w:rsidR="00000000" w:rsidRPr="00000000">
        <w:rPr>
          <w:rFonts w:ascii="Calibri" w:cs="Calibri" w:eastAsia="Calibri" w:hAnsi="Calibri"/>
          <w:rtl w:val="0"/>
        </w:rPr>
        <w:t xml:space="preserve">Čl. 11 Všeobecných podmínek se doplňuje o nový odst. 5, který zní:</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850.3937007874017" w:right="-182" w:firstLine="0"/>
        <w:jc w:val="both"/>
        <w:rPr>
          <w:rFonts w:ascii="Calibri" w:cs="Calibri" w:eastAsia="Calibri" w:hAnsi="Calibri"/>
        </w:rPr>
      </w:pPr>
      <w:r w:rsidDel="00000000" w:rsidR="00000000" w:rsidRPr="00000000">
        <w:rPr>
          <w:rtl w:val="0"/>
        </w:rPr>
        <w:t xml:space="preserve">„</w:t>
      </w: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4">
      <w:pPr>
        <w:numPr>
          <w:ilvl w:val="0"/>
          <w:numId w:val="6"/>
        </w:numPr>
        <w:ind w:left="425" w:hanging="425"/>
        <w:rPr>
          <w:rFonts w:ascii="Calibri" w:cs="Calibri" w:eastAsia="Calibri" w:hAnsi="Calibri"/>
        </w:rPr>
      </w:pPr>
      <w:bookmarkStart w:colFirst="0" w:colLast="0" w:name="_dc6vp44uq1tu" w:id="1"/>
      <w:bookmarkEnd w:id="1"/>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12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Čl. 14 Všeobecných podmínek se doplňuje o nový odst. 5, který zní:</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lineRule="auto"/>
        <w:ind w:left="566.9291338582675" w:right="-182" w:firstLine="283.4645669291342"/>
        <w:rPr>
          <w:rFonts w:ascii="Calibri" w:cs="Calibri" w:eastAsia="Calibri" w:hAnsi="Calibri"/>
        </w:rPr>
      </w:pPr>
      <w:r w:rsidDel="00000000" w:rsidR="00000000" w:rsidRPr="00000000">
        <w:rPr>
          <w:rFonts w:ascii="Calibri" w:cs="Calibri" w:eastAsia="Calibri" w:hAnsi="Calibri"/>
          <w:rtl w:val="0"/>
        </w:rPr>
        <w:t xml:space="preserve"> „Smlouva o využití výsledku musí být uzavřena v anglickém jazyce.“</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425" w:right="-182" w:hanging="425"/>
      </w:pPr>
      <w:r w:rsidDel="00000000" w:rsidR="00000000" w:rsidRPr="00000000">
        <w:rPr>
          <w:rFonts w:ascii="Calibri" w:cs="Calibri" w:eastAsia="Calibri" w:hAnsi="Calibri"/>
          <w:rtl w:val="0"/>
        </w:rPr>
        <w:t xml:space="preserve">Čl. 17 Všeobecných podmínek se doplňuje o nový odst. 11, který zní:</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855" w:right="-182" w:hanging="4.6062992125982305"/>
        <w:jc w:val="both"/>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9">
      <w:pPr>
        <w:numPr>
          <w:ilvl w:val="0"/>
          <w:numId w:val="6"/>
        </w:numPr>
        <w:spacing w:after="120" w:before="0" w:lineRule="auto"/>
        <w:ind w:left="425" w:right="-182"/>
      </w:pPr>
      <w:r w:rsidDel="00000000" w:rsidR="00000000" w:rsidRPr="00000000">
        <w:rPr>
          <w:rFonts w:ascii="Calibri" w:cs="Calibri" w:eastAsia="Calibri" w:hAnsi="Calibri"/>
          <w:rtl w:val="0"/>
        </w:rPr>
        <w:t xml:space="preserve">Poskytovatel se zavazuje poskytnout podporu v každém roce řešení ve výši uvedené v Závazných parametrech řešení projektu</w:t>
      </w:r>
    </w:p>
    <w:p w:rsidR="00000000" w:rsidDel="00000000" w:rsidP="00000000" w:rsidRDefault="00000000" w:rsidRPr="00000000" w14:paraId="0000003A">
      <w:pPr>
        <w:numPr>
          <w:ilvl w:val="0"/>
          <w:numId w:val="7"/>
        </w:numPr>
        <w:spacing w:after="120" w:before="0" w:lineRule="auto"/>
        <w:ind w:left="850" w:right="-182" w:hanging="283"/>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3B">
      <w:pPr>
        <w:numPr>
          <w:ilvl w:val="0"/>
          <w:numId w:val="7"/>
        </w:numPr>
        <w:ind w:left="850" w:right="-182" w:hanging="283"/>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425" w:right="-182" w:hanging="425"/>
        <w:jc w:val="both"/>
      </w:pPr>
      <w:r w:rsidDel="00000000" w:rsidR="00000000" w:rsidRPr="00000000">
        <w:rPr>
          <w:rFonts w:ascii="Calibri" w:cs="Calibri" w:eastAsia="Calibri" w:hAnsi="Calibri"/>
          <w:rtl w:val="0"/>
        </w:rPr>
        <w:t xml:space="preserve">Příjemce je povinen dodržovat zásadu „významně nepoškozovat” ve smyslu článku 17 Nařízení Evropského parlamentu a Rady (EU) 2020/852 ze dne 18. června 2020 o zřízení rámce pro usnadnění udržitelných investic a o změně nařízení (EU) 2019/2088.</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425" w:right="-182" w:hanging="425"/>
        <w:jc w:val="both"/>
      </w:pPr>
      <w:r w:rsidDel="00000000" w:rsidR="00000000" w:rsidRPr="00000000">
        <w:rPr>
          <w:rFonts w:ascii="Calibri" w:cs="Calibri" w:eastAsia="Calibri" w:hAnsi="Calibri"/>
          <w:rtl w:val="0"/>
        </w:rPr>
        <w:t xml:space="preserve">Čl. 4 odst. 2 písm. c) Všeobecných podmínek se mění takto:</w:t>
      </w:r>
    </w:p>
    <w:p w:rsidR="00000000" w:rsidDel="00000000" w:rsidP="00000000" w:rsidRDefault="00000000" w:rsidRPr="00000000" w14:paraId="0000003E">
      <w:pPr>
        <w:spacing w:after="240" w:before="240" w:line="276" w:lineRule="auto"/>
        <w:ind w:left="850.3937007874017" w:right="-182.5984251968498" w:firstLine="0"/>
        <w:rPr>
          <w:rFonts w:ascii="Calibri" w:cs="Calibri" w:eastAsia="Calibri" w:hAnsi="Calibri"/>
        </w:rPr>
      </w:pPr>
      <w:r w:rsidDel="00000000" w:rsidR="00000000" w:rsidRPr="00000000">
        <w:rPr>
          <w:rFonts w:ascii="Calibri" w:cs="Calibri" w:eastAsia="Calibri" w:hAnsi="Calibri"/>
          <w:rtl w:val="0"/>
        </w:rPr>
        <w:t xml:space="preserve">“při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 a to v souladu s podmínkami vizuální identity uveřejněnými na webových stránkách poskytovatele, a též v souladu s podmínkami vizuální identity stanovenými v Metodickém pokynu pro publicitu a komunikaci pro Národní plán obnovy na období 2021–2026.”</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425" w:right="-182" w:hanging="425"/>
        <w:jc w:val="both"/>
      </w:pPr>
      <w:r w:rsidDel="00000000" w:rsidR="00000000" w:rsidRPr="00000000">
        <w:rPr>
          <w:rFonts w:ascii="Calibri" w:cs="Calibri" w:eastAsia="Calibri" w:hAnsi="Calibri"/>
          <w:rtl w:val="0"/>
        </w:rPr>
        <w:t xml:space="preserve">Příjemce je povinen učinit veškerá opatření, aby nevznikl střet zájmů ve smyslu článku 61 Nařízení Evropského parlamentu a Rady (EU) 2018/1046 ze dne 18. července 2018, a pokud taková situace nastane, je povinen tuto skutečnost neprodleně oznámit poskytovateli.</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76" w:lineRule="auto"/>
        <w:ind w:left="425" w:right="-182" w:hanging="425"/>
        <w:jc w:val="both"/>
      </w:pPr>
      <w:r w:rsidDel="00000000" w:rsidR="00000000" w:rsidRPr="00000000">
        <w:rPr>
          <w:rFonts w:ascii="Calibri" w:cs="Calibri" w:eastAsia="Calibri" w:hAnsi="Calibri"/>
          <w:rtl w:val="0"/>
        </w:rPr>
        <w:t xml:space="preserve">Čl. 17 odst. 8 Všeobecných podmínek se nahrazuje tímto: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850.3937007874017" w:right="-182" w:firstLine="0"/>
        <w:jc w:val="both"/>
        <w:rPr/>
      </w:pPr>
      <w:r w:rsidDel="00000000" w:rsidR="00000000" w:rsidRPr="00000000">
        <w:rPr>
          <w:rFonts w:ascii="Calibri" w:cs="Calibri" w:eastAsia="Calibri" w:hAnsi="Calibri"/>
          <w:rtl w:val="0"/>
        </w:rPr>
        <w:t xml:space="preserve">“Daň z přidané hodnoty dle zákona č. 235/2004 Sb., o dani z přidané hodnoty není v této veřejné soutěži uznaný náklad, ani pro neplátce DPH.”</w:t>
      </w:r>
      <w:r w:rsidDel="00000000" w:rsidR="00000000" w:rsidRPr="00000000">
        <w:rPr>
          <w:rtl w:val="0"/>
        </w:rPr>
      </w:r>
    </w:p>
    <w:p w:rsidR="00000000" w:rsidDel="00000000" w:rsidP="00000000" w:rsidRDefault="00000000" w:rsidRPr="00000000" w14:paraId="00000042">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5">
      <w:pPr>
        <w:numPr>
          <w:ilvl w:val="0"/>
          <w:numId w:val="5"/>
        </w:numPr>
        <w:tabs>
          <w:tab w:val="left" w:pos="567"/>
          <w:tab w:val="left" w:pos="709"/>
        </w:tabs>
        <w:ind w:left="360" w:hanging="360"/>
        <w:rPr>
          <w:rFonts w:ascii="Calibri" w:cs="Calibri" w:eastAsia="Calibri" w:hAnsi="Calibri"/>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příjemci.</w:t>
      </w:r>
    </w:p>
    <w:p w:rsidR="00000000" w:rsidDel="00000000" w:rsidP="00000000" w:rsidRDefault="00000000" w:rsidRPr="00000000" w14:paraId="00000046">
      <w:pPr>
        <w:numPr>
          <w:ilvl w:val="0"/>
          <w:numId w:val="5"/>
        </w:numPr>
        <w:tabs>
          <w:tab w:val="left" w:pos="567"/>
          <w:tab w:val="left" w:pos="709"/>
        </w:tabs>
        <w:ind w:left="360" w:hanging="360"/>
        <w:rPr>
          <w:rFonts w:ascii="Calibri" w:cs="Calibri" w:eastAsia="Calibri" w:hAnsi="Calibri"/>
        </w:rPr>
      </w:pPr>
      <w:r w:rsidDel="00000000" w:rsidR="00000000" w:rsidRPr="00000000">
        <w:rPr>
          <w:rFonts w:ascii="Calibri" w:cs="Calibri" w:eastAsia="Calibri" w:hAnsi="Calibri"/>
          <w:rtl w:val="0"/>
        </w:rPr>
        <w:t xml:space="preserve">Rozhodnutí se vydává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6"/>
          <w:numId w:val="2"/>
        </w:numPr>
        <w:spacing w:before="0" w:line="240" w:lineRule="auto"/>
        <w:ind w:left="5040" w:firstLine="1476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tbl>
      <w:tblPr>
        <w:tblStyle w:val="Table1"/>
        <w:tblW w:w="9639.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w:t>
            </w:r>
          </w:p>
        </w:tc>
        <w:tc>
          <w:tcPr>
            <w:tcBorders>
              <w:bottom w:color="000000" w:space="0" w:sz="4" w:val="single"/>
            </w:tcBorders>
          </w:tcPr>
          <w:p w:rsidR="00000000" w:rsidDel="00000000" w:rsidP="00000000" w:rsidRDefault="00000000" w:rsidRPr="00000000" w14:paraId="0000004B">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C">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D">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bl>
    <w:bookmarkStart w:colFirst="0" w:colLast="0" w:name="30j0zll" w:id="2"/>
    <w:bookmarkEnd w:id="2"/>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536"/>
        <w:tab w:val="right" w:pos="9072"/>
      </w:tabs>
      <w:spacing w:before="0" w:line="240" w:lineRule="auto"/>
      <w:rPr>
        <w:rFonts w:ascii="Calibri" w:cs="Calibri" w:eastAsia="Calibri" w:hAnsi="Calibri"/>
        <w:sz w:val="16"/>
        <w:szCs w:val="16"/>
      </w:rPr>
    </w:pPr>
    <w:bookmarkStart w:colFirst="0" w:colLast="0" w:name="_1fob9te" w:id="3"/>
    <w:bookmarkEnd w:id="3"/>
    <w:r w:rsidDel="00000000" w:rsidR="00000000" w:rsidRPr="00000000">
      <w:rPr>
        <w:rFonts w:ascii="Calibri" w:cs="Calibri" w:eastAsia="Calibri" w:hAnsi="Calibri"/>
        <w:sz w:val="16"/>
        <w:szCs w:val="16"/>
        <w:rtl w:val="0"/>
      </w:rPr>
      <w:t xml:space="preserve">F-353, verze 3</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536"/>
        <w:tab w:val="right"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536"/>
        <w:tab w:val="right"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536"/>
        <w:tab w:val="right"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pos="4536"/>
        <w:tab w:val="right" w:pos="9072"/>
      </w:tabs>
      <w:spacing w:before="1134"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-892171</wp:posOffset>
          </wp:positionH>
          <wp:positionV relativeFrom="paragraph">
            <wp:posOffset>-441957</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52">
    <w:pPr>
      <w:tabs>
        <w:tab w:val="center" w:pos="4536"/>
        <w:tab w:val="right" w:pos="9072"/>
      </w:tabs>
      <w:spacing w:before="0" w:line="240" w:lineRule="auto"/>
      <w:jc w:val="right"/>
      <w:rPr>
        <w:rFonts w:ascii="Calibri" w:cs="Calibri" w:eastAsia="Calibri" w:hAnsi="Calibri"/>
        <w:b w:val="1"/>
        <w:sz w:val="16"/>
        <w:szCs w:val="16"/>
        <w:highlight w:val="yellow"/>
      </w:rPr>
    </w:pPr>
    <w:r w:rsidDel="00000000" w:rsidR="00000000" w:rsidRPr="00000000">
      <w:rPr>
        <w:rFonts w:ascii="Calibri" w:cs="Calibri" w:eastAsia="Calibri" w:hAnsi="Calibri"/>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p>
  <w:p w:rsidR="00000000" w:rsidDel="00000000" w:rsidP="00000000" w:rsidRDefault="00000000" w:rsidRPr="00000000" w14:paraId="00000053">
    <w:pPr>
      <w:tabs>
        <w:tab w:val="center" w:pos="4536"/>
        <w:tab w:val="right" w:pos="9072"/>
      </w:tabs>
      <w:spacing w:before="0" w:line="240" w:lineRule="auto"/>
      <w:jc w:val="right"/>
      <w:rPr>
        <w:rFonts w:ascii="Calibri" w:cs="Calibri" w:eastAsia="Calibri" w:hAnsi="Calibri"/>
        <w:b w:val="1"/>
        <w:sz w:val="16"/>
        <w:szCs w:val="16"/>
        <w:highlight w:val="yellow"/>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536"/>
        <w:tab w:val="right"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4">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5">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850" w:hanging="283"/>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